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  <w:jc w:val="center"/>
      </w:pPr>
      <w:bookmarkStart w:colFirst="0" w:colLast="0" w:name="h.3xaips7u8lb9" w:id="0"/>
      <w:bookmarkEnd w:id="0"/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</w:p>
    <w:p w:rsidR="00000000" w:rsidDel="00000000" w:rsidP="00000000" w:rsidRDefault="00000000" w:rsidRPr="00000000">
      <w:pPr>
        <w:pStyle w:val="Title"/>
        <w:bidi w:val="1"/>
        <w:contextualSpacing w:val="0"/>
        <w:jc w:val="center"/>
      </w:pPr>
      <w:bookmarkStart w:colFirst="0" w:colLast="0" w:name="h.ugdkfkfub1io" w:id="1"/>
      <w:bookmarkEnd w:id="1"/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bidi w:val="1"/>
        <w:contextualSpacing w:val="0"/>
      </w:pPr>
      <w:bookmarkStart w:colFirst="0" w:colLast="0" w:name="h.gqnn4e4dmllf" w:id="2"/>
      <w:bookmarkEnd w:id="2"/>
      <w:r w:rsidDel="00000000" w:rsidR="00000000" w:rsidRPr="00000000">
        <w:rPr>
          <w:rtl w:val="1"/>
        </w:rPr>
        <w:t xml:space="preserve">מבוא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מגדיר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הקריטריונים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שלפיהם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מחליטים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התכנים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הנלמדים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קריטריונים</w:t>
      </w:r>
      <w:r w:rsidDel="00000000" w:rsidR="00000000" w:rsidRPr="00000000">
        <w:rPr>
          <w:rtl w:val="1"/>
        </w:rPr>
        <w:t xml:space="preserve">״ (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קווים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מנחים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הנחיות</w:t>
      </w:r>
      <w:r w:rsidDel="00000000" w:rsidR="00000000" w:rsidRPr="00000000">
        <w:rPr>
          <w:rtl w:val="1"/>
        </w:rPr>
        <w:t xml:space="preserve">״)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b w:val="1"/>
          <w:rtl w:val="1"/>
        </w:rPr>
        <w:t xml:space="preserve">מעבר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לקריטריונים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אתיקה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בטרם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במהלך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לימודי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אבטחת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המידע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bidi w:val="1"/>
        <w:contextualSpacing w:val="0"/>
      </w:pPr>
      <w:bookmarkStart w:colFirst="0" w:colLast="0" w:name="h.hdcz6d4l0jym" w:id="3"/>
      <w:bookmarkEnd w:id="3"/>
      <w:r w:rsidDel="00000000" w:rsidR="00000000" w:rsidRPr="00000000">
        <w:rPr>
          <w:rtl w:val="1"/>
        </w:rPr>
        <w:t xml:space="preserve">פירוט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הקריטריונים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h.o0jjus53x0p3" w:id="4"/>
      <w:bookmarkEnd w:id="4"/>
      <w:r w:rsidDel="00000000" w:rsidR="00000000" w:rsidRPr="00000000">
        <w:rPr>
          <w:rtl w:val="1"/>
        </w:rPr>
        <w:t xml:space="preserve">קריטריון</w:t>
      </w:r>
      <w:r w:rsidDel="00000000" w:rsidR="00000000" w:rsidRPr="00000000">
        <w:rPr>
          <w:rtl w:val="1"/>
        </w:rPr>
        <w:t xml:space="preserve"> 1 - </w:t>
      </w:r>
      <w:r w:rsidDel="00000000" w:rsidR="00000000" w:rsidRPr="00000000">
        <w:rPr>
          <w:rtl w:val="1"/>
        </w:rPr>
        <w:t xml:space="preserve">ההקשר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פאסיבית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0"/>
        </w:rPr>
        <w:t xml:space="preserve">Forensics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אקטיבית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ודיבוג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זדונית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אבחון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לקריטריון</w:t>
      </w:r>
      <w:r w:rsidDel="00000000" w:rsidR="00000000" w:rsidRPr="00000000">
        <w:rPr>
          <w:rtl w:val="1"/>
        </w:rPr>
        <w:t xml:space="preserve"> 2),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תקיפתיות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h.embr65q6ezx9" w:id="5"/>
      <w:bookmarkEnd w:id="5"/>
      <w:r w:rsidDel="00000000" w:rsidR="00000000" w:rsidRPr="00000000">
        <w:rPr>
          <w:rtl w:val="1"/>
        </w:rPr>
        <w:t xml:space="preserve">קריטריון</w:t>
      </w:r>
      <w:r w:rsidDel="00000000" w:rsidR="00000000" w:rsidRPr="00000000">
        <w:rPr>
          <w:rtl w:val="1"/>
        </w:rPr>
        <w:t xml:space="preserve"> 2 - </w:t>
      </w:r>
      <w:r w:rsidDel="00000000" w:rsidR="00000000" w:rsidRPr="00000000">
        <w:rPr>
          <w:rtl w:val="1"/>
        </w:rPr>
        <w:t xml:space="preserve">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Build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  <w:t xml:space="preserve">Break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  <w:t xml:space="preserve">Fix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ההגנתיות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Fix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Build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לקריטריון</w:t>
      </w:r>
      <w:r w:rsidDel="00000000" w:rsidR="00000000" w:rsidRPr="00000000">
        <w:rPr>
          <w:rtl w:val="1"/>
        </w:rPr>
        <w:t xml:space="preserve"> 1,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Break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תקיפתיות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יפותחו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בעדיפות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h.k2yd68pirpuo" w:id="6"/>
      <w:bookmarkEnd w:id="6"/>
      <w:r w:rsidDel="00000000" w:rsidR="00000000" w:rsidRPr="00000000">
        <w:rPr>
          <w:rtl w:val="1"/>
        </w:rPr>
        <w:t xml:space="preserve">קריטריון</w:t>
      </w:r>
      <w:r w:rsidDel="00000000" w:rsidR="00000000" w:rsidRPr="00000000">
        <w:rPr>
          <w:rtl w:val="1"/>
        </w:rPr>
        <w:t xml:space="preserve"> 3 - </w:t>
      </w:r>
      <w:r w:rsidDel="00000000" w:rsidR="00000000" w:rsidRPr="00000000">
        <w:rPr>
          <w:rtl w:val="1"/>
        </w:rPr>
        <w:t xml:space="preserve">הלימה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מנומקת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h.343lmn91t13p" w:id="7"/>
      <w:bookmarkEnd w:id="7"/>
      <w:r w:rsidDel="00000000" w:rsidR="00000000" w:rsidRPr="00000000">
        <w:rPr>
          <w:rtl w:val="1"/>
        </w:rPr>
        <w:t xml:space="preserve">קריטריון</w:t>
      </w:r>
      <w:r w:rsidDel="00000000" w:rsidR="00000000" w:rsidRPr="00000000">
        <w:rPr>
          <w:rtl w:val="1"/>
        </w:rPr>
        <w:t xml:space="preserve"> 4 - </w:t>
      </w:r>
      <w:r w:rsidDel="00000000" w:rsidR="00000000" w:rsidRPr="00000000">
        <w:rPr>
          <w:rtl w:val="1"/>
        </w:rPr>
        <w:t xml:space="preserve">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מהמציאות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Break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לימודית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bidi w:val="1"/>
        <w:contextualSpacing w:val="0"/>
      </w:pPr>
      <w:bookmarkStart w:colFirst="0" w:colLast="0" w:name="h.7u7qo1lprzjp" w:id="8"/>
      <w:bookmarkEnd w:id="8"/>
      <w:r w:rsidDel="00000000" w:rsidR="00000000" w:rsidRPr="00000000">
        <w:rPr>
          <w:rtl w:val="1"/>
        </w:rPr>
        <w:t xml:space="preserve">קריטריון</w:t>
      </w:r>
      <w:r w:rsidDel="00000000" w:rsidR="00000000" w:rsidRPr="00000000">
        <w:rPr>
          <w:rtl w:val="1"/>
        </w:rPr>
        <w:t xml:space="preserve"> 5 -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ייבצעו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התקפיות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Break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לדוגמה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חנוכה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מיקום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הייטק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bidi w:val="1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הרצאה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תרגול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תחרות</w:t>
      </w:r>
      <w:r w:rsidDel="00000000" w:rsidR="00000000" w:rsidRPr="00000000">
        <w:rPr>
          <w:rtl w:val="1"/>
        </w:rPr>
        <w:t xml:space="preserve">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